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B58B8" w14:textId="77777777" w:rsidR="005F688F" w:rsidRDefault="00B40F22">
      <w:pPr>
        <w:spacing w:after="120"/>
        <w:jc w:val="center"/>
      </w:pPr>
      <w:r>
        <w:rPr>
          <w:noProof/>
        </w:rPr>
        <w:drawing>
          <wp:inline distT="0" distB="0" distL="0" distR="0" wp14:anchorId="1E9E7732" wp14:editId="404F8870">
            <wp:extent cx="1190625" cy="109537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190625" cy="1095375"/>
                    </a:xfrm>
                    <a:prstGeom prst="rect">
                      <a:avLst/>
                    </a:prstGeom>
                  </pic:spPr>
                </pic:pic>
              </a:graphicData>
            </a:graphic>
          </wp:inline>
        </w:drawing>
      </w:r>
    </w:p>
    <w:p w14:paraId="6CD761E8" w14:textId="0182616A" w:rsidR="005F688F" w:rsidRDefault="00B40F22">
      <w:pPr>
        <w:spacing w:after="40"/>
        <w:jc w:val="center"/>
      </w:pPr>
      <w:r>
        <w:rPr>
          <w:b/>
          <w:bCs/>
        </w:rPr>
        <w:t xml:space="preserve">EDITAL </w:t>
      </w:r>
      <w:r w:rsidR="00EF7923">
        <w:rPr>
          <w:b/>
          <w:bCs/>
        </w:rPr>
        <w:t>01</w:t>
      </w:r>
      <w:r>
        <w:rPr>
          <w:b/>
          <w:bCs/>
        </w:rPr>
        <w:t>/2026 — CIG</w:t>
      </w:r>
      <w:r w:rsidR="00EF7923">
        <w:rPr>
          <w:b/>
          <w:bCs/>
        </w:rPr>
        <w:t xml:space="preserve"> </w:t>
      </w:r>
      <w:r w:rsidR="00EF7923" w:rsidRPr="00EF7923">
        <w:rPr>
          <w:b/>
          <w:bCs/>
        </w:rPr>
        <w:t>BD3F99D83B</w:t>
      </w:r>
    </w:p>
    <w:p w14:paraId="1DD40409" w14:textId="77777777" w:rsidR="005F688F" w:rsidRDefault="00B40F22">
      <w:pPr>
        <w:spacing w:after="60"/>
        <w:jc w:val="center"/>
      </w:pPr>
      <w:r>
        <w:rPr>
          <w:b/>
          <w:bCs/>
        </w:rPr>
        <w:t>ANEXO 1 — MINUTA DO ACORDO-QUADRO</w:t>
      </w:r>
    </w:p>
    <w:p w14:paraId="69AB7F65" w14:textId="77777777" w:rsidR="005F688F" w:rsidRDefault="00B40F22">
      <w:pPr>
        <w:spacing w:after="280"/>
        <w:jc w:val="center"/>
      </w:pPr>
      <w:r>
        <w:rPr>
          <w:i/>
          <w:iCs/>
        </w:rPr>
        <w:t>Serviço de digitação e gestão de entrada de dados — Rio de Janeiro e Vitória/ES</w:t>
      </w:r>
    </w:p>
    <w:p w14:paraId="73433362" w14:textId="6C58867B" w:rsidR="005F688F" w:rsidRDefault="00B40F22">
      <w:pPr>
        <w:spacing w:after="120" w:line="259" w:lineRule="auto"/>
        <w:jc w:val="both"/>
      </w:pPr>
      <w:r>
        <w:t xml:space="preserve">Pelo presente instrumento, o </w:t>
      </w:r>
      <w:r>
        <w:rPr>
          <w:b/>
          <w:bCs/>
        </w:rPr>
        <w:t>CONSULADO GERAL DA ITÁLIA NO RIO DE JANEIRO</w:t>
      </w:r>
      <w:r>
        <w:t xml:space="preserve">, com sede na Av. Presidente Antônio Carlos, 40, Centro, Rio de Janeiro/RJ, neste ato representado pelo Cônsul Geral, doravante "Contratante", e </w:t>
      </w:r>
      <w:r>
        <w:rPr>
          <w:b/>
          <w:bCs/>
          <w:color w:val="C00000"/>
        </w:rPr>
        <w:t>[razão social, CNPJ, sede, representante]</w:t>
      </w:r>
      <w:r>
        <w:t>, doravante "Contratado", celebram este Acordo-Quadro, resultante do Edital</w:t>
      </w:r>
      <w:r w:rsidR="00EF7923">
        <w:t xml:space="preserve"> 01</w:t>
      </w:r>
      <w:r>
        <w:t>/2026 (CIG</w:t>
      </w:r>
      <w:r w:rsidR="00EF7923">
        <w:t xml:space="preserve"> </w:t>
      </w:r>
      <w:r w:rsidR="00EF7923" w:rsidRPr="00EF7923">
        <w:t>BD3F99D83B</w:t>
      </w:r>
      <w:r w:rsidR="00EF7923">
        <w:t>)</w:t>
      </w:r>
      <w:r>
        <w:t>, nos termos do art. 59 do D.Lgs. 36/2023 e do D.M. 192/2017, mediante as cláusulas seguintes.</w:t>
      </w:r>
    </w:p>
    <w:p w14:paraId="741733CE" w14:textId="77777777" w:rsidR="005F688F" w:rsidRDefault="00B40F22">
      <w:pPr>
        <w:keepNext/>
        <w:spacing w:before="280" w:after="140"/>
      </w:pPr>
      <w:r>
        <w:rPr>
          <w:b/>
          <w:bCs/>
        </w:rPr>
        <w:t>Cláusula 1 — Objeto</w:t>
      </w:r>
    </w:p>
    <w:p w14:paraId="392B53C2" w14:textId="77777777" w:rsidR="005F688F" w:rsidRDefault="00B40F22">
      <w:pPr>
        <w:spacing w:after="120" w:line="259" w:lineRule="auto"/>
        <w:jc w:val="both"/>
      </w:pPr>
      <w:r>
        <w:t>1.1 Prestação continuada de serviços de digitação e gestão de entrada de dados no registro consular, em posto fixo na sede do Contratante no Rio de Janeiro e em posto avançado em Vitória/ES, conforme o Edital, o Anexo 2 e o Projeto do Serviço, que integram este Acordo, qualificada como contrato de prestação de serviços com obrigação de resultado.</w:t>
      </w:r>
    </w:p>
    <w:p w14:paraId="4E38FEEF" w14:textId="77777777" w:rsidR="005F688F" w:rsidRDefault="00B40F22">
      <w:pPr>
        <w:spacing w:after="120" w:line="259" w:lineRule="auto"/>
        <w:jc w:val="both"/>
      </w:pPr>
      <w:r>
        <w:t>1.2 Composição de referência: 11 postos — 1 líder e 10 digitadores (9 no Rio de Janeiro e 1 em Vitória), jornada de 6 horas diárias e 30 semanais, com atendimento telefônico acessório em rodízio nos limites do Anexo 2. A composição efetiva de cada período é fixada no respectivo contrato de implementação.</w:t>
      </w:r>
    </w:p>
    <w:p w14:paraId="7B98FF45" w14:textId="77777777" w:rsidR="005F688F" w:rsidRDefault="00B40F22">
      <w:pPr>
        <w:keepNext/>
        <w:spacing w:before="280" w:after="140"/>
      </w:pPr>
      <w:r>
        <w:rPr>
          <w:b/>
          <w:bCs/>
        </w:rPr>
        <w:t>Cláusula 2 — Vigência e contratos de implementação</w:t>
      </w:r>
    </w:p>
    <w:p w14:paraId="37860236" w14:textId="77777777" w:rsidR="005F688F" w:rsidRDefault="00B40F22">
      <w:pPr>
        <w:spacing w:after="120" w:line="259" w:lineRule="auto"/>
        <w:jc w:val="both"/>
      </w:pPr>
      <w:r>
        <w:t>2.1 Este Acordo vigora de 01/12/2026 a 30/11/2029, improrrogável quanto ao seu termo (art. 59), ressalvada a prorrogação técnica da Cláusula 12.</w:t>
      </w:r>
    </w:p>
    <w:p w14:paraId="2B0FAD1B" w14:textId="77777777" w:rsidR="005F688F" w:rsidRDefault="00B40F22">
      <w:pPr>
        <w:spacing w:after="120" w:line="259" w:lineRule="auto"/>
        <w:jc w:val="both"/>
      </w:pPr>
      <w:r>
        <w:t>2.2 A execução dá-se por contratos de implementação anuais, cada um com CIG derivado, empenho e garantia próprios. O primeiro vigora de 01/12/2026 a 30/11/2027 com 11 postos. A celebração de contratos de implementação é faculdade do Contratante e não gera direito a quantidade mínima.</w:t>
      </w:r>
    </w:p>
    <w:p w14:paraId="1370B655" w14:textId="77777777" w:rsidR="005F688F" w:rsidRDefault="00B40F22">
      <w:pPr>
        <w:spacing w:after="120" w:line="259" w:lineRule="auto"/>
        <w:jc w:val="both"/>
      </w:pPr>
      <w:r>
        <w:t>2.3 Nos primeiros 90 dias do primeiro contrato de implementação é aferida a produtividade de referência por posto, fixada por termo aditivo como meta do nível de serviço n.º 2 do Anexo 2.</w:t>
      </w:r>
    </w:p>
    <w:p w14:paraId="660FA654" w14:textId="77777777" w:rsidR="005F688F" w:rsidRDefault="00B40F22">
      <w:pPr>
        <w:keepNext/>
        <w:spacing w:before="280" w:after="140"/>
      </w:pPr>
      <w:r>
        <w:rPr>
          <w:b/>
          <w:bCs/>
        </w:rPr>
        <w:t>Cláusula 3 — Preços e valor máximo</w:t>
      </w:r>
    </w:p>
    <w:p w14:paraId="016CE15A" w14:textId="77777777" w:rsidR="005F688F" w:rsidRDefault="00B40F22">
      <w:pPr>
        <w:spacing w:after="120" w:line="259" w:lineRule="auto"/>
        <w:jc w:val="both"/>
      </w:pPr>
      <w:r>
        <w:t xml:space="preserve">3.1 Preços unitários mensais por posto, resultantes da proposta: Líder R$ </w:t>
      </w:r>
      <w:r>
        <w:rPr>
          <w:b/>
          <w:bCs/>
          <w:color w:val="C00000"/>
        </w:rPr>
        <w:t>[…]</w:t>
      </w:r>
      <w:r>
        <w:t xml:space="preserve">; Digitador Rio de Janeiro R$ </w:t>
      </w:r>
      <w:r>
        <w:rPr>
          <w:b/>
          <w:bCs/>
          <w:color w:val="C00000"/>
        </w:rPr>
        <w:t>[…]</w:t>
      </w:r>
      <w:r>
        <w:t xml:space="preserve">; Digitador Vitória R$ </w:t>
      </w:r>
      <w:r>
        <w:rPr>
          <w:b/>
          <w:bCs/>
          <w:color w:val="C00000"/>
        </w:rPr>
        <w:t>[…]</w:t>
      </w:r>
      <w:r>
        <w:t xml:space="preserve">. Valor mensal da composição de referência: R$ </w:t>
      </w:r>
      <w:r>
        <w:rPr>
          <w:b/>
          <w:bCs/>
          <w:color w:val="C00000"/>
        </w:rPr>
        <w:t>[…]</w:t>
      </w:r>
      <w:r>
        <w:t>.</w:t>
      </w:r>
    </w:p>
    <w:p w14:paraId="490DDE56" w14:textId="77777777" w:rsidR="005F688F" w:rsidRDefault="00B40F22">
      <w:pPr>
        <w:spacing w:after="120" w:line="259" w:lineRule="auto"/>
        <w:jc w:val="both"/>
      </w:pPr>
      <w:r>
        <w:t>3.2 Valor máximo do Acordo-Quadro: R$ 4.400.000,00 para o triênio, inclusive revisão de preços. Os custos de mão de obra, encargos e provisões discriminados na proposta (não inferiores a R$ 84.145,48 mensais para a composição de referência) são vinculantes e não foram objeto de desconto.</w:t>
      </w:r>
    </w:p>
    <w:p w14:paraId="34175C44" w14:textId="77777777" w:rsidR="005F688F" w:rsidRDefault="00B40F22">
      <w:pPr>
        <w:spacing w:after="120" w:line="259" w:lineRule="auto"/>
        <w:jc w:val="both"/>
      </w:pPr>
      <w:r>
        <w:t>3.3 Os preços são fixos e inegociáveis, sujeitos apenas à revisão da Cláusula 11.</w:t>
      </w:r>
    </w:p>
    <w:p w14:paraId="7F3B6588" w14:textId="77777777" w:rsidR="005F688F" w:rsidRDefault="00B40F22">
      <w:pPr>
        <w:keepNext/>
        <w:spacing w:before="280" w:after="140"/>
      </w:pPr>
      <w:r>
        <w:rPr>
          <w:b/>
          <w:bCs/>
        </w:rPr>
        <w:t>Cláusula 4 — Obrigações do Contratado</w:t>
      </w:r>
    </w:p>
    <w:p w14:paraId="24B30187" w14:textId="77777777" w:rsidR="005F688F" w:rsidRDefault="00B40F22">
      <w:pPr>
        <w:spacing w:after="120" w:line="259" w:lineRule="auto"/>
        <w:jc w:val="both"/>
      </w:pPr>
      <w:r>
        <w:t>4.1 manter a cobertura integral dos postos, com substituição nos prazos do Anexo 2, por profissionais com vínculo empregatício próprio, ficha de registro com jornada de 150 horas mensais e perfil do Anexo 2;</w:t>
      </w:r>
    </w:p>
    <w:p w14:paraId="024E59E9" w14:textId="77777777" w:rsidR="005F688F" w:rsidRDefault="00B40F22">
      <w:pPr>
        <w:spacing w:after="120" w:line="259" w:lineRule="auto"/>
        <w:jc w:val="both"/>
      </w:pPr>
      <w:r>
        <w:t>4.2 exercer, por preposto único, todo o poder diretivo e disciplinar sobre o pessoal, sendo o único empregador e responsável por salários, encargos, benefícios e verbas rescisórias;</w:t>
      </w:r>
    </w:p>
    <w:p w14:paraId="12DBE629" w14:textId="77777777" w:rsidR="005F688F" w:rsidRDefault="00B40F22">
      <w:pPr>
        <w:spacing w:after="120" w:line="259" w:lineRule="auto"/>
        <w:jc w:val="both"/>
      </w:pPr>
      <w:r>
        <w:lastRenderedPageBreak/>
        <w:t>4.3 pagar salários não inferiores aos de referência do Anexo 2 nem ao piso da convenção coletiva aplicável (Rio de Janeiro e Espírito Santo), e conceder os benefícios mínimos do Anexo 2, inclusive plano de saúde;</w:t>
      </w:r>
    </w:p>
    <w:p w14:paraId="19197450" w14:textId="77777777" w:rsidR="005F688F" w:rsidRDefault="00B40F22">
      <w:pPr>
        <w:spacing w:after="120" w:line="259" w:lineRule="auto"/>
        <w:jc w:val="both"/>
      </w:pPr>
      <w:r>
        <w:t>4.4 comprovar mensalmente, como condição de pagamento, folha, recibos, guias de FGTS e INSS, CND federal, CRF e CNDT, e a convenção coletiva aplicada;</w:t>
      </w:r>
    </w:p>
    <w:p w14:paraId="008FDB23" w14:textId="77777777" w:rsidR="005F688F" w:rsidRDefault="00B40F22">
      <w:pPr>
        <w:spacing w:after="120" w:line="259" w:lineRule="auto"/>
        <w:jc w:val="both"/>
      </w:pPr>
      <w:r>
        <w:t>4.5 observar a jornada de 6 h/30 h, o intervalo de 15 minutos, as pausas da NR-17 e o limite de 5 horas de digitação efetiva, vedada a prorrogação habitual;</w:t>
      </w:r>
    </w:p>
    <w:p w14:paraId="29D6786D" w14:textId="77777777" w:rsidR="005F688F" w:rsidRDefault="00B40F22">
      <w:pPr>
        <w:spacing w:after="120" w:line="259" w:lineRule="auto"/>
        <w:jc w:val="both"/>
      </w:pPr>
      <w:r>
        <w:t>4.6 organizar e comprovar a escala de rodízio do atendimento telefônico, limitada a 1 hora por dia por profissional;</w:t>
      </w:r>
    </w:p>
    <w:p w14:paraId="23D6B59B" w14:textId="77777777" w:rsidR="005F688F" w:rsidRDefault="00B40F22">
      <w:pPr>
        <w:spacing w:after="120" w:line="259" w:lineRule="auto"/>
        <w:jc w:val="both"/>
      </w:pPr>
      <w:r>
        <w:t>4.7 cumprir os níveis de serviço e submeter-se às penalidades do Anexo 2; entregar relatório mensal;</w:t>
      </w:r>
    </w:p>
    <w:p w14:paraId="7F01CFA3" w14:textId="77777777" w:rsidR="005F688F" w:rsidRDefault="00B40F22">
      <w:pPr>
        <w:spacing w:after="120" w:line="259" w:lineRule="auto"/>
        <w:jc w:val="both"/>
      </w:pPr>
      <w:r>
        <w:t>4.8 tratar os dados pessoais como operador/responsável pelo tratamento, nos termos do Anexo 4, com sigilo, acesso restrito e notificação de incidentes em 24 h;</w:t>
      </w:r>
    </w:p>
    <w:p w14:paraId="03879DFC" w14:textId="77777777" w:rsidR="005F688F" w:rsidRDefault="00B40F22">
      <w:pPr>
        <w:spacing w:after="120" w:line="259" w:lineRule="auto"/>
        <w:jc w:val="both"/>
      </w:pPr>
      <w:r>
        <w:t>4.9 manter apólice de responsabilidade civil (30% do valor anual) e a garantia da Cláusula 8;</w:t>
      </w:r>
    </w:p>
    <w:p w14:paraId="04C48EDD" w14:textId="77777777" w:rsidR="005F688F" w:rsidRDefault="00B40F22">
      <w:pPr>
        <w:spacing w:after="120" w:line="259" w:lineRule="auto"/>
        <w:jc w:val="both"/>
      </w:pPr>
      <w:r>
        <w:t>4.10 executar o plano de transição e de saída do Anexo 2 e cooperar com eventual sucessor;</w:t>
      </w:r>
    </w:p>
    <w:p w14:paraId="03A95E40" w14:textId="77777777" w:rsidR="005F688F" w:rsidRDefault="00B40F22">
      <w:pPr>
        <w:spacing w:after="120" w:line="259" w:lineRule="auto"/>
        <w:jc w:val="both"/>
      </w:pPr>
      <w:r>
        <w:t>4.11 observar o Pacto de Integridade (Anexo 7), o Regulamento interno da Casa d’Italia e as normas de segurança e saúde;</w:t>
      </w:r>
    </w:p>
    <w:p w14:paraId="139165F0" w14:textId="77777777" w:rsidR="005F688F" w:rsidRDefault="00B40F22">
      <w:pPr>
        <w:spacing w:after="120" w:line="259" w:lineRule="auto"/>
        <w:jc w:val="both"/>
      </w:pPr>
      <w:r>
        <w:t>4.12 recolher com exclusividade todos os tributos e encargos da execução, ciente de que o Contratante, órgão de Estado estrangeiro, não retém IRRF, sem transferir esse ônus ao Contratante;</w:t>
      </w:r>
    </w:p>
    <w:p w14:paraId="4C0073DD" w14:textId="77777777" w:rsidR="005F688F" w:rsidRDefault="00B40F22">
      <w:pPr>
        <w:spacing w:after="120" w:line="259" w:lineRule="auto"/>
        <w:jc w:val="both"/>
      </w:pPr>
      <w:r>
        <w:t>4.13 dar preferência, no preenchimento dos postos, ao pessoal atualmente alocado, nos termos do item 8.6 do Anexo 2, sem sucessão trabalhista.</w:t>
      </w:r>
    </w:p>
    <w:p w14:paraId="4869D0A8" w14:textId="77777777" w:rsidR="005F688F" w:rsidRDefault="00B40F22">
      <w:pPr>
        <w:keepNext/>
        <w:spacing w:before="280" w:after="140"/>
      </w:pPr>
      <w:r>
        <w:rPr>
          <w:b/>
          <w:bCs/>
        </w:rPr>
        <w:t>Cláusula 5 — Obrigações do Contratante</w:t>
      </w:r>
    </w:p>
    <w:p w14:paraId="1E76A209" w14:textId="77777777" w:rsidR="005F688F" w:rsidRDefault="00B40F22">
      <w:pPr>
        <w:spacing w:after="120" w:line="259" w:lineRule="auto"/>
        <w:jc w:val="both"/>
      </w:pPr>
      <w:r>
        <w:t>5.1 Fornecer espaço, equipamentos, sistemas, procedimentos operacionais e acessos nominais; fiscalizar a execução por meio do Responsável Único do Projeto e do fiscal designado; efetuar os pagamentos na forma da Cláusula 6; abster-se de dirigir ordens ao pessoal do Contratado, canalizando demandas ao líder e ao preposto.</w:t>
      </w:r>
    </w:p>
    <w:p w14:paraId="4833076A" w14:textId="77777777" w:rsidR="005F688F" w:rsidRDefault="00B40F22">
      <w:pPr>
        <w:keepNext/>
        <w:spacing w:before="280" w:after="140"/>
      </w:pPr>
      <w:r>
        <w:rPr>
          <w:b/>
          <w:bCs/>
        </w:rPr>
        <w:t>Cláusula 6 — Pagamento e rastreabilidade</w:t>
      </w:r>
    </w:p>
    <w:p w14:paraId="68B046AC" w14:textId="77777777" w:rsidR="005F688F" w:rsidRDefault="00B40F22">
      <w:pPr>
        <w:spacing w:after="120" w:line="259" w:lineRule="auto"/>
        <w:jc w:val="both"/>
      </w:pPr>
      <w:r>
        <w:t>6.1 Pagamento mensal, em reais, em 30 dias da fatura, condicionado ao relatório de níveis de serviço aceito e à comprovação da Cláusula 4.4. Retenção de 15% da última fatura de cada contrato de implementação até a conclusão do plano de saída ou do período seguinte.</w:t>
      </w:r>
    </w:p>
    <w:p w14:paraId="4D94142B" w14:textId="77777777" w:rsidR="005F688F" w:rsidRDefault="00B40F22">
      <w:pPr>
        <w:spacing w:after="120" w:line="259" w:lineRule="auto"/>
        <w:jc w:val="both"/>
      </w:pPr>
      <w:r>
        <w:t>6.2 Fatura com indicação do CIG nos documentos de pagamento e conta exclusivamente de titularidade do Contratado. Glosa das faltas de cobertura e compensação de multas na fatura, após contraditório.</w:t>
      </w:r>
    </w:p>
    <w:p w14:paraId="44D68DBD" w14:textId="77777777" w:rsidR="005F688F" w:rsidRDefault="00B40F22">
      <w:pPr>
        <w:keepNext/>
        <w:spacing w:before="280" w:after="140"/>
      </w:pPr>
      <w:r>
        <w:rPr>
          <w:b/>
          <w:bCs/>
        </w:rPr>
        <w:t>Cláusula 7 — Níveis de serviço e penalidades</w:t>
      </w:r>
    </w:p>
    <w:p w14:paraId="76085683" w14:textId="77777777" w:rsidR="005F688F" w:rsidRDefault="00B40F22">
      <w:pPr>
        <w:spacing w:after="120" w:line="259" w:lineRule="auto"/>
        <w:jc w:val="both"/>
      </w:pPr>
      <w:r>
        <w:t>7.1 Aplicam-se os 9 níveis de serviço e as penalidades em 5 graus do Anexo 2, com processo de aplicação em contraditório de 5 dias úteis e limite acumulado de 10% do valor do contrato de implementação no período.</w:t>
      </w:r>
    </w:p>
    <w:p w14:paraId="38EBCB0A" w14:textId="77777777" w:rsidR="005F688F" w:rsidRDefault="00B40F22">
      <w:pPr>
        <w:keepNext/>
        <w:spacing w:before="280" w:after="140"/>
      </w:pPr>
      <w:r>
        <w:rPr>
          <w:b/>
          <w:bCs/>
        </w:rPr>
        <w:t>Cláusula 8 — Garantia</w:t>
      </w:r>
    </w:p>
    <w:p w14:paraId="48D90464" w14:textId="77777777" w:rsidR="005F688F" w:rsidRDefault="00B40F22">
      <w:pPr>
        <w:spacing w:after="120" w:line="259" w:lineRule="auto"/>
        <w:jc w:val="both"/>
      </w:pPr>
      <w:r>
        <w:t>8.1 Garantia de 10% do valor anual de cada contrato de implementação, por caução, seguro-garantia ou fiança bancária, com cobertura expressa de verbas trabalhistas e multas, cláusula de renúncia ao benefício de ordem e pagamento em até 15 (quinze) dias de simples solicitação escrita do Contratante, renovada a cada contrato e liberada nos termos do item 9.3 do Edital.</w:t>
      </w:r>
    </w:p>
    <w:p w14:paraId="488A4E4A" w14:textId="77777777" w:rsidR="005F688F" w:rsidRDefault="00B40F22">
      <w:pPr>
        <w:keepNext/>
        <w:spacing w:before="280" w:after="140"/>
      </w:pPr>
      <w:r>
        <w:rPr>
          <w:b/>
          <w:bCs/>
        </w:rPr>
        <w:lastRenderedPageBreak/>
        <w:t>Cláusula 9 — Proteção de dados</w:t>
      </w:r>
    </w:p>
    <w:p w14:paraId="7CEA3E2D" w14:textId="77777777" w:rsidR="005F688F" w:rsidRDefault="00B40F22">
      <w:pPr>
        <w:spacing w:after="120" w:line="259" w:lineRule="auto"/>
        <w:jc w:val="both"/>
      </w:pPr>
      <w:r>
        <w:t>9.1 O Contratado é designado operador de tratamento (art. 39 LGPD) e responsável pelo tratamento (art. 28 GDPR) pelos dados do registro consular, nos termos do acordo de tratamento do Anexo 4, parte integrante deste instrumento. Vedados cópia, extração, uso de dispositivos pessoais e execução fora dos postos.</w:t>
      </w:r>
    </w:p>
    <w:p w14:paraId="4160479F" w14:textId="77777777" w:rsidR="005F688F" w:rsidRDefault="00B40F22">
      <w:pPr>
        <w:keepNext/>
        <w:spacing w:before="280" w:after="140"/>
      </w:pPr>
      <w:r>
        <w:rPr>
          <w:b/>
          <w:bCs/>
        </w:rPr>
        <w:t>Cláusula 10 — Cessão, subcontratação e modificações</w:t>
      </w:r>
    </w:p>
    <w:p w14:paraId="25A88198" w14:textId="77777777" w:rsidR="005F688F" w:rsidRDefault="00B40F22">
      <w:pPr>
        <w:spacing w:after="120" w:line="259" w:lineRule="auto"/>
        <w:jc w:val="both"/>
      </w:pPr>
      <w:r>
        <w:t>10.1 Vedada a cessão. Vedada a subcontratação do objeto; admite-se, sem transferência da execução e sem afastar a responsabilidade integral do Contratado, a contratação de fornecedores para atividades meramente acessórias (formação, suporte de TI, transporte). Não se admitem consórcio nem complementação de requisitos por empresa auxiliar. O Contratante pode reduzir ou ampliar postos até 30% do valor do contrato de implementação (art. 120).</w:t>
      </w:r>
    </w:p>
    <w:p w14:paraId="4C806E19" w14:textId="77777777" w:rsidR="005F688F" w:rsidRDefault="00B40F22">
      <w:pPr>
        <w:keepNext/>
        <w:spacing w:before="280" w:after="140"/>
      </w:pPr>
      <w:r>
        <w:rPr>
          <w:b/>
          <w:bCs/>
        </w:rPr>
        <w:t>Cláusula 11 — Revisão de preços</w:t>
      </w:r>
    </w:p>
    <w:p w14:paraId="760C92AA" w14:textId="77777777" w:rsidR="005F688F" w:rsidRDefault="00B40F22">
      <w:pPr>
        <w:spacing w:after="120" w:line="259" w:lineRule="auto"/>
        <w:jc w:val="both"/>
      </w:pPr>
      <w:r>
        <w:t>11.1 Revisão anual a partir do segundo ano, quando a variação acumulada dos custos de referência exceder 5%, reconhecendo-se 80% do excedente (art. 60 do D.Lgs. 36/2023): parcela de mão de obra pelo reajuste da convenção coletiva; demais parcelas pelo INPC/IBGE; tributos conforme a legislação. Reajuste de convenção que eleve o piso acima do salário de referência é repassado integralmente. A revisão do art. 60 é o único mecanismo de reequilíbrio para fatos por ela cobertos, renunciando as partes, nesses limites, aos arts. 478 a 480 do Código Civil.</w:t>
      </w:r>
    </w:p>
    <w:p w14:paraId="5B637EF0" w14:textId="77777777" w:rsidR="005F688F" w:rsidRDefault="00B40F22">
      <w:pPr>
        <w:keepNext/>
        <w:spacing w:before="280" w:after="140"/>
      </w:pPr>
      <w:r>
        <w:rPr>
          <w:b/>
          <w:bCs/>
        </w:rPr>
        <w:t>Cláusula 12 — Prorrogação técnica</w:t>
      </w:r>
    </w:p>
    <w:p w14:paraId="1309AEB5" w14:textId="77777777" w:rsidR="005F688F" w:rsidRDefault="00B40F22">
      <w:pPr>
        <w:spacing w:after="120" w:line="259" w:lineRule="auto"/>
        <w:jc w:val="both"/>
      </w:pPr>
      <w:r>
        <w:t>12.1 Ao termo do Acordo ou do último contrato de implementação, o Contratante pode prorrogar tecnicamente o serviço (art. 120, comma 11), pelo tempo estritamente necessário à conclusão de novo procedimento, nas mesmas condições, mediante comunicação com 30 dias de antecedência.</w:t>
      </w:r>
    </w:p>
    <w:p w14:paraId="75801058" w14:textId="77777777" w:rsidR="005F688F" w:rsidRDefault="00B40F22">
      <w:pPr>
        <w:keepNext/>
        <w:spacing w:before="280" w:after="140"/>
      </w:pPr>
      <w:r>
        <w:rPr>
          <w:b/>
          <w:bCs/>
        </w:rPr>
        <w:t>Cláusula 13 — Transição e plano de saída</w:t>
      </w:r>
    </w:p>
    <w:p w14:paraId="4D0001D2" w14:textId="77777777" w:rsidR="005F688F" w:rsidRDefault="00B40F22">
      <w:pPr>
        <w:spacing w:after="120" w:line="259" w:lineRule="auto"/>
        <w:jc w:val="both"/>
      </w:pPr>
      <w:r>
        <w:t>13.1 Transição de entrada de 30 dias sem interrupção do serviço em curso. Plano de saída nos 60 dias finais: manutenção da equipe, inventário de pendências, entrega de documentação e credenciais, cooperação com o sucessor; a retenção da Cláusula 6.1 é liberada após a conclusão.</w:t>
      </w:r>
    </w:p>
    <w:p w14:paraId="1452A6E4" w14:textId="77777777" w:rsidR="005F688F" w:rsidRDefault="00B40F22">
      <w:pPr>
        <w:keepNext/>
        <w:spacing w:before="280" w:after="140"/>
      </w:pPr>
      <w:r>
        <w:rPr>
          <w:b/>
          <w:bCs/>
        </w:rPr>
        <w:t>Cláusula 14 — Rescisão</w:t>
      </w:r>
    </w:p>
    <w:p w14:paraId="41D924E3" w14:textId="77777777" w:rsidR="005F688F" w:rsidRDefault="00B40F22">
      <w:pPr>
        <w:spacing w:after="120" w:line="259" w:lineRule="auto"/>
        <w:jc w:val="both"/>
      </w:pPr>
      <w:r>
        <w:t>14.1 Rescisão por inadimplemento grave (grau 5 do Anexo 2), perda de requisitos, inadimplência trabalhista ou fiscal reiterada, violação do Pacto de Integridade ou de dados, com execução da garantia e ressarcimento, após notificação e prazo de 10 dias para defesa. Rescisão por conveniência do Contratante com 60 dias de aviso e pagamento do executado. A rescisão do Acordo-Quadro extingue os contratos de implementação em curso, salvo decisão diversa do Contratante para assegurar a continuidade durante o plano de saída.</w:t>
      </w:r>
    </w:p>
    <w:p w14:paraId="4268EAD0" w14:textId="77777777" w:rsidR="005F688F" w:rsidRDefault="00B40F22">
      <w:pPr>
        <w:keepNext/>
        <w:spacing w:before="280" w:after="140"/>
      </w:pPr>
      <w:r>
        <w:rPr>
          <w:b/>
          <w:bCs/>
        </w:rPr>
        <w:t>Cláusula 15 — Lei aplicável e foro</w:t>
      </w:r>
    </w:p>
    <w:p w14:paraId="4E04F8F1" w14:textId="77777777" w:rsidR="005F688F" w:rsidRDefault="00B40F22">
      <w:pPr>
        <w:spacing w:after="120" w:line="259" w:lineRule="auto"/>
        <w:jc w:val="both"/>
      </w:pPr>
      <w:r>
        <w:t>15.1 Este Acordo é celebrado ao abrigo do D.M. 192/2017 e do art. 59 do D.Lgs. 36/2023. A lei civil que rege a sua celebração e execução é determinada pelo art. 2, comma 6, do D.M. 192/2017 segundo as normas de direito internacional privado; sendo a prestação executada no Brasil, as partes elegem a lei brasileira (art. 3 do Regulamento (CE) 593/2008), aplicáveis em todo caso as normas brasileiras de aplicação necessária em matéria trabalhista, previdenciária e tributária (art. 9).</w:t>
      </w:r>
    </w:p>
    <w:p w14:paraId="2FCF050D" w14:textId="77777777" w:rsidR="005F688F" w:rsidRDefault="00B40F22">
      <w:pPr>
        <w:spacing w:after="120" w:line="259" w:lineRule="auto"/>
        <w:jc w:val="both"/>
      </w:pPr>
      <w:r>
        <w:t>15.2 As controvérsias sobre a execução são do foro da Justiça Federal do Rio de Janeiro, com renúncia a qualquer outro, firmes as competências inderrogáveis da Justiça do Trabalho (art. 651 da CLT). As controvérsias sobre o procedimento e a adjudicação permanecem da jurisdição exclusiva do juiz administrativo italiano (T.A.R. Lazio – Roma). Nenhuma cláusula importa renúncia às imunidades reconhecidas ao Contratante pelo direito internacional.</w:t>
      </w:r>
    </w:p>
    <w:p w14:paraId="340192D9" w14:textId="77777777" w:rsidR="005F688F" w:rsidRDefault="00B40F22">
      <w:pPr>
        <w:spacing w:before="200" w:after="120" w:line="259" w:lineRule="auto"/>
        <w:jc w:val="both"/>
      </w:pPr>
      <w:r>
        <w:lastRenderedPageBreak/>
        <w:t>E, por estarem justas e contratadas, as partes assinam em duas vias.</w:t>
      </w:r>
    </w:p>
    <w:tbl>
      <w:tblPr>
        <w:tblW w:w="104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233"/>
        <w:gridCol w:w="5233"/>
      </w:tblGrid>
      <w:tr w:rsidR="005F688F" w14:paraId="635D026A" w14:textId="77777777">
        <w:trPr>
          <w:tblHeader/>
        </w:trPr>
        <w:tc>
          <w:tcPr>
            <w:tcW w:w="5233" w:type="dxa"/>
            <w:shd w:val="clear" w:color="auto" w:fill="D9D9D9"/>
            <w:tcMar>
              <w:top w:w="60" w:type="dxa"/>
              <w:left w:w="90" w:type="dxa"/>
              <w:bottom w:w="60" w:type="dxa"/>
              <w:right w:w="90" w:type="dxa"/>
            </w:tcMar>
          </w:tcPr>
          <w:p w14:paraId="3B6B617B" w14:textId="77777777" w:rsidR="005F688F" w:rsidRDefault="00B40F22">
            <w:pPr>
              <w:spacing w:after="40"/>
            </w:pPr>
            <w:r>
              <w:rPr>
                <w:b/>
                <w:bCs/>
                <w:sz w:val="20"/>
                <w:szCs w:val="20"/>
              </w:rPr>
              <w:t>Contratado</w:t>
            </w:r>
          </w:p>
        </w:tc>
        <w:tc>
          <w:tcPr>
            <w:tcW w:w="5233" w:type="dxa"/>
            <w:shd w:val="clear" w:color="auto" w:fill="D9D9D9"/>
            <w:tcMar>
              <w:top w:w="60" w:type="dxa"/>
              <w:left w:w="90" w:type="dxa"/>
              <w:bottom w:w="60" w:type="dxa"/>
              <w:right w:w="90" w:type="dxa"/>
            </w:tcMar>
          </w:tcPr>
          <w:p w14:paraId="21876C93" w14:textId="77777777" w:rsidR="005F688F" w:rsidRDefault="00B40F22">
            <w:pPr>
              <w:spacing w:after="40"/>
            </w:pPr>
            <w:r>
              <w:rPr>
                <w:b/>
                <w:bCs/>
                <w:sz w:val="20"/>
                <w:szCs w:val="20"/>
              </w:rPr>
              <w:t>Consulado Geral da Itália</w:t>
            </w:r>
          </w:p>
        </w:tc>
      </w:tr>
      <w:tr w:rsidR="005F688F" w14:paraId="6B391539" w14:textId="77777777">
        <w:tc>
          <w:tcPr>
            <w:tcW w:w="5233" w:type="dxa"/>
            <w:tcMar>
              <w:top w:w="60" w:type="dxa"/>
              <w:left w:w="90" w:type="dxa"/>
              <w:bottom w:w="60" w:type="dxa"/>
              <w:right w:w="90" w:type="dxa"/>
            </w:tcMar>
          </w:tcPr>
          <w:p w14:paraId="0232937F" w14:textId="77777777" w:rsidR="005F688F" w:rsidRDefault="00B40F22">
            <w:pPr>
              <w:spacing w:after="40"/>
            </w:pPr>
            <w:r>
              <w:rPr>
                <w:sz w:val="20"/>
                <w:szCs w:val="20"/>
              </w:rPr>
              <w:t xml:space="preserve">  [nome e cargo do representante legal]</w:t>
            </w:r>
          </w:p>
        </w:tc>
        <w:tc>
          <w:tcPr>
            <w:tcW w:w="5233" w:type="dxa"/>
            <w:tcMar>
              <w:top w:w="60" w:type="dxa"/>
              <w:left w:w="90" w:type="dxa"/>
              <w:bottom w:w="60" w:type="dxa"/>
              <w:right w:w="90" w:type="dxa"/>
            </w:tcMar>
          </w:tcPr>
          <w:p w14:paraId="695133B2" w14:textId="77777777" w:rsidR="005F688F" w:rsidRDefault="00B40F22">
            <w:pPr>
              <w:spacing w:after="40"/>
            </w:pPr>
            <w:r>
              <w:rPr>
                <w:sz w:val="20"/>
                <w:szCs w:val="20"/>
              </w:rPr>
              <w:t xml:space="preserve">  Andreas Ferrarese — Cônsul Geral</w:t>
            </w:r>
          </w:p>
        </w:tc>
      </w:tr>
    </w:tbl>
    <w:p w14:paraId="07F00939" w14:textId="77777777" w:rsidR="00B40F22" w:rsidRDefault="00B40F22"/>
    <w:sectPr w:rsidR="00B40F22">
      <w:footerReference w:type="default" r:id="rId8"/>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33D30B" w14:textId="77777777" w:rsidR="00B40F22" w:rsidRDefault="00B40F22">
      <w:r>
        <w:separator/>
      </w:r>
    </w:p>
  </w:endnote>
  <w:endnote w:type="continuationSeparator" w:id="0">
    <w:p w14:paraId="2C81426E" w14:textId="77777777" w:rsidR="00B40F22" w:rsidRDefault="00B40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16637" w14:textId="77777777" w:rsidR="005F688F" w:rsidRDefault="00B40F22">
    <w:pPr>
      <w:jc w:val="center"/>
    </w:pPr>
    <w:r>
      <w:rPr>
        <w:sz w:val="18"/>
        <w:szCs w:val="18"/>
      </w:rPr>
      <w:fldChar w:fldCharType="begin"/>
    </w:r>
    <w:r>
      <w:rPr>
        <w:sz w:val="18"/>
        <w:szCs w:val="18"/>
      </w:rPr>
      <w:instrText>PAGE</w:instrText>
    </w:r>
    <w:r>
      <w:rPr>
        <w:sz w:val="18"/>
        <w:szCs w:val="18"/>
      </w:rPr>
      <w:fldChar w:fldCharType="separate"/>
    </w:r>
    <w:r w:rsidR="00CF2024">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DEB14" w14:textId="77777777" w:rsidR="00B40F22" w:rsidRDefault="00B40F22">
      <w:r>
        <w:separator/>
      </w:r>
    </w:p>
  </w:footnote>
  <w:footnote w:type="continuationSeparator" w:id="0">
    <w:p w14:paraId="33FA06DE" w14:textId="77777777" w:rsidR="00B40F22" w:rsidRDefault="00B40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F844EE"/>
    <w:multiLevelType w:val="hybridMultilevel"/>
    <w:tmpl w:val="2FF0908A"/>
    <w:lvl w:ilvl="0" w:tplc="6BA06126">
      <w:start w:val="1"/>
      <w:numFmt w:val="bullet"/>
      <w:lvlText w:val="●"/>
      <w:lvlJc w:val="left"/>
      <w:pPr>
        <w:ind w:left="720" w:hanging="360"/>
      </w:pPr>
    </w:lvl>
    <w:lvl w:ilvl="1" w:tplc="5B9E1692">
      <w:start w:val="1"/>
      <w:numFmt w:val="bullet"/>
      <w:lvlText w:val="○"/>
      <w:lvlJc w:val="left"/>
      <w:pPr>
        <w:ind w:left="1440" w:hanging="360"/>
      </w:pPr>
    </w:lvl>
    <w:lvl w:ilvl="2" w:tplc="477AA456">
      <w:start w:val="1"/>
      <w:numFmt w:val="bullet"/>
      <w:lvlText w:val="■"/>
      <w:lvlJc w:val="left"/>
      <w:pPr>
        <w:ind w:left="2160" w:hanging="360"/>
      </w:pPr>
    </w:lvl>
    <w:lvl w:ilvl="3" w:tplc="E55462F2">
      <w:start w:val="1"/>
      <w:numFmt w:val="bullet"/>
      <w:lvlText w:val="●"/>
      <w:lvlJc w:val="left"/>
      <w:pPr>
        <w:ind w:left="2880" w:hanging="360"/>
      </w:pPr>
    </w:lvl>
    <w:lvl w:ilvl="4" w:tplc="7BA62522">
      <w:start w:val="1"/>
      <w:numFmt w:val="bullet"/>
      <w:lvlText w:val="○"/>
      <w:lvlJc w:val="left"/>
      <w:pPr>
        <w:ind w:left="3600" w:hanging="360"/>
      </w:pPr>
    </w:lvl>
    <w:lvl w:ilvl="5" w:tplc="16424B0E">
      <w:start w:val="1"/>
      <w:numFmt w:val="bullet"/>
      <w:lvlText w:val="■"/>
      <w:lvlJc w:val="left"/>
      <w:pPr>
        <w:ind w:left="4320" w:hanging="360"/>
      </w:pPr>
    </w:lvl>
    <w:lvl w:ilvl="6" w:tplc="C282AD14">
      <w:start w:val="1"/>
      <w:numFmt w:val="bullet"/>
      <w:lvlText w:val="●"/>
      <w:lvlJc w:val="left"/>
      <w:pPr>
        <w:ind w:left="5040" w:hanging="360"/>
      </w:pPr>
    </w:lvl>
    <w:lvl w:ilvl="7" w:tplc="6AAE316C">
      <w:start w:val="1"/>
      <w:numFmt w:val="bullet"/>
      <w:lvlText w:val="●"/>
      <w:lvlJc w:val="left"/>
      <w:pPr>
        <w:ind w:left="5760" w:hanging="360"/>
      </w:pPr>
    </w:lvl>
    <w:lvl w:ilvl="8" w:tplc="42144C2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88F"/>
    <w:rsid w:val="0059419F"/>
    <w:rsid w:val="005F688F"/>
    <w:rsid w:val="00B40F22"/>
    <w:rsid w:val="00CF2024"/>
    <w:rsid w:val="00EF792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E0813"/>
  <w15:docId w15:val="{5C1C4076-EAB1-4DFB-B1D9-1036A13DC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Forte1">
    <w:name w:val="Forte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1459</Words>
  <Characters>8318</Characters>
  <Application>Microsoft Office Word</Application>
  <DocSecurity>0</DocSecurity>
  <Lines>69</Lines>
  <Paragraphs>19</Paragraphs>
  <ScaleCrop>false</ScaleCrop>
  <Company/>
  <LinksUpToDate>false</LinksUpToDate>
  <CharactersWithSpaces>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Anexo_1_Minuta_Acordo-Quadro_2026.docx</dc:title>
  <dc:creator>Consulado Geral da Itália — Rio de Janeiro</dc:creator>
  <cp:lastModifiedBy>helder.desouza</cp:lastModifiedBy>
  <cp:revision>3</cp:revision>
  <dcterms:created xsi:type="dcterms:W3CDTF">2026-09-18T14:42:00Z</dcterms:created>
  <dcterms:modified xsi:type="dcterms:W3CDTF">2026-10-06T12:06:00Z</dcterms:modified>
</cp:coreProperties>
</file>