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51F9" w14:textId="77777777" w:rsidR="00757D94" w:rsidRDefault="00937418">
      <w:pPr>
        <w:spacing w:after="120"/>
        <w:jc w:val="center"/>
      </w:pPr>
      <w:r>
        <w:rPr>
          <w:noProof/>
        </w:rPr>
        <w:drawing>
          <wp:inline distT="0" distB="0" distL="0" distR="0" wp14:anchorId="1003257D" wp14:editId="63C1DA7D">
            <wp:extent cx="1190625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3AB13" w14:textId="3F665469" w:rsidR="00757D94" w:rsidRDefault="00937418">
      <w:pPr>
        <w:spacing w:after="40"/>
        <w:jc w:val="center"/>
      </w:pPr>
      <w:r>
        <w:rPr>
          <w:b/>
          <w:bCs/>
        </w:rPr>
        <w:t>EDITAL</w:t>
      </w:r>
      <w:r w:rsidR="009F0F89">
        <w:rPr>
          <w:b/>
          <w:bCs/>
        </w:rPr>
        <w:t xml:space="preserve"> 01</w:t>
      </w:r>
      <w:r>
        <w:rPr>
          <w:b/>
          <w:bCs/>
        </w:rPr>
        <w:t>/2026 — CIG</w:t>
      </w:r>
      <w:r w:rsidR="009F0F89">
        <w:rPr>
          <w:b/>
          <w:bCs/>
        </w:rPr>
        <w:t xml:space="preserve"> </w:t>
      </w:r>
      <w:r w:rsidR="009F0F89" w:rsidRPr="009F0F89">
        <w:rPr>
          <w:b/>
          <w:bCs/>
        </w:rPr>
        <w:t>BD3F99D83B</w:t>
      </w:r>
    </w:p>
    <w:p w14:paraId="1666EE24" w14:textId="77777777" w:rsidR="00757D94" w:rsidRDefault="00937418">
      <w:pPr>
        <w:spacing w:after="60"/>
        <w:jc w:val="center"/>
      </w:pPr>
      <w:r>
        <w:rPr>
          <w:b/>
          <w:bCs/>
        </w:rPr>
        <w:t>ANEXO 2 — CAPÍTULO ESPECIAL DESCRITIVO</w:t>
      </w:r>
    </w:p>
    <w:p w14:paraId="05CAA6D6" w14:textId="77777777" w:rsidR="00757D94" w:rsidRDefault="00937418">
      <w:pPr>
        <w:spacing w:after="280"/>
        <w:jc w:val="center"/>
      </w:pPr>
      <w:r>
        <w:rPr>
          <w:i/>
          <w:iCs/>
        </w:rPr>
        <w:t>Especificações técnicas do serviço, quantitativos e custos referenciais</w:t>
      </w:r>
    </w:p>
    <w:p w14:paraId="4A6F055B" w14:textId="77777777" w:rsidR="00757D94" w:rsidRDefault="00937418">
      <w:pPr>
        <w:keepNext/>
        <w:spacing w:before="280" w:after="140"/>
      </w:pPr>
      <w:r>
        <w:rPr>
          <w:b/>
          <w:bCs/>
        </w:rPr>
        <w:t>1. Objeto e enquadramento</w:t>
      </w:r>
    </w:p>
    <w:p w14:paraId="202D54F1" w14:textId="77777777" w:rsidR="00757D94" w:rsidRDefault="00937418">
      <w:pPr>
        <w:spacing w:after="120" w:line="259" w:lineRule="auto"/>
        <w:jc w:val="both"/>
      </w:pPr>
      <w:r>
        <w:t>1.1 Contratação de mão de obra terceirizada operacional de digitação (CBO 4121-10) para a realização de atividades na sede do Contratante no Rio de Janeiro e em posto avançado em Vitória/ES, executadas por empregados do Operador econômico regularmente contratados nos termos da legislação trabalhista brasileira, em regime de prestação de serviços com obrigação de resultado.</w:t>
      </w:r>
    </w:p>
    <w:p w14:paraId="06207613" w14:textId="77777777" w:rsidR="00757D94" w:rsidRDefault="00937418">
      <w:pPr>
        <w:spacing w:after="120" w:line="259" w:lineRule="auto"/>
        <w:jc w:val="both"/>
      </w:pPr>
      <w:r>
        <w:t>1.2 Atividades: inserção, conferência (dupla checagem) e atualização de registros no registro consular e nos sistemas indicados pelo Contratante; triagem de expedientes, protocolo, organização de lotes e controle de pendências; atendimento telefônico ao público sobre o próprio serviço de registro, em rodízio, nos termos do item 4. Excluem-se decisão sobre o mérito de pedidos, atos de fé pública e atribuições privativas do pessoal consular.</w:t>
      </w:r>
    </w:p>
    <w:p w14:paraId="265E662F" w14:textId="77777777" w:rsidR="00757D94" w:rsidRDefault="00937418">
      <w:pPr>
        <w:keepNext/>
        <w:spacing w:before="280" w:after="140"/>
      </w:pPr>
      <w:r>
        <w:rPr>
          <w:b/>
          <w:bCs/>
        </w:rPr>
        <w:t>2. Jornada, intervalos e pausas</w:t>
      </w:r>
    </w:p>
    <w:p w14:paraId="0E82E428" w14:textId="77777777" w:rsidR="00757D94" w:rsidRDefault="00937418">
      <w:pPr>
        <w:spacing w:after="120" w:line="259" w:lineRule="auto"/>
        <w:jc w:val="both"/>
      </w:pPr>
      <w:r>
        <w:t>2.1 Jornada de 6 (seis) horas diárias e 30 (trinta) horas semanais, de segunda a sexta-feira, em horário organizado pelo Contratante dentro do expediente — jornada compatível com a atividade de digitação (NR-17).</w:t>
      </w:r>
    </w:p>
    <w:p w14:paraId="4E778628" w14:textId="77777777" w:rsidR="00757D94" w:rsidRDefault="00937418">
      <w:pPr>
        <w:spacing w:after="120" w:line="259" w:lineRule="auto"/>
        <w:jc w:val="both"/>
      </w:pPr>
      <w:r>
        <w:t>2.2 Intervalo obrigatório de 15 (quinze) minutos, nos termos do art. 71, § 1.º, da CLT, aplicável às jornadas superiores a 4 e até 6 horas, e pausas de descanso da NR-17 para atividades de entrada de dados (10 minutos a cada 50 trabalhados), computadas na jornada; tempo efetivo de digitação limitado a 5 (cinco) horas diárias.</w:t>
      </w:r>
    </w:p>
    <w:p w14:paraId="5A628C23" w14:textId="77777777" w:rsidR="00757D94" w:rsidRDefault="00937418">
      <w:pPr>
        <w:spacing w:after="120" w:line="259" w:lineRule="auto"/>
        <w:jc w:val="both"/>
      </w:pPr>
      <w:r>
        <w:t>2.3 A ficha de registro consignará a jornada de 30 horas semanais (150 horas mensais). Vedadas a prorrogação habitual de jornada e a compensação por banco de horas (Súmula 437, IV, TST). O piso da categoria é devido integralmente, ainda que em regime de tempo parcial (art. 58-A da CLT).</w:t>
      </w:r>
    </w:p>
    <w:p w14:paraId="11A7123B" w14:textId="77777777" w:rsidR="00757D94" w:rsidRDefault="00937418">
      <w:pPr>
        <w:keepNext/>
        <w:spacing w:before="280" w:after="140"/>
      </w:pPr>
      <w:r>
        <w:rPr>
          <w:b/>
          <w:bCs/>
        </w:rPr>
        <w:t>3. Perfis, quantitativos e locais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800"/>
        <w:gridCol w:w="1300"/>
        <w:gridCol w:w="3200"/>
        <w:gridCol w:w="3466"/>
      </w:tblGrid>
      <w:tr w:rsidR="00757D94" w14:paraId="25B66726" w14:textId="77777777">
        <w:trPr>
          <w:tblHeader/>
        </w:trPr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30A0B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Posto</w:t>
            </w:r>
          </w:p>
        </w:tc>
        <w:tc>
          <w:tcPr>
            <w:tcW w:w="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53312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Qtde</w:t>
            </w:r>
          </w:p>
        </w:tc>
        <w:tc>
          <w:tcPr>
            <w:tcW w:w="13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502AB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Local</w:t>
            </w:r>
          </w:p>
        </w:tc>
        <w:tc>
          <w:tcPr>
            <w:tcW w:w="32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43EC1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Requisitos mínimos</w:t>
            </w:r>
          </w:p>
        </w:tc>
        <w:tc>
          <w:tcPr>
            <w:tcW w:w="34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38237E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Atribuições</w:t>
            </w:r>
          </w:p>
        </w:tc>
      </w:tr>
      <w:tr w:rsidR="00757D94" w14:paraId="2FF3B1B0" w14:textId="77777777"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9FF67E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Líder / caposquadra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C029D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1331A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Rio de Janeiro</w:t>
            </w:r>
          </w:p>
        </w:tc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4546B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Ensino médio; 2 anos de coordenação de equipe de entrada de dados; italiano intermediário; informática.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75FD1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Distribuição do trabalho; controle de qualidade; escala de rodízio; interface única com o preposto e o Contratante; supervisão do posto de Vitória.</w:t>
            </w:r>
          </w:p>
        </w:tc>
      </w:tr>
      <w:tr w:rsidR="00757D94" w14:paraId="149B9F7D" w14:textId="77777777"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481D5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Digitador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59A80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A4FD5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Rio de Janeiro</w:t>
            </w:r>
          </w:p>
        </w:tc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7A81A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Ensino médio; digitação com exatidão ≥ 98%; italiano leitura básica; informática; LGPD básica.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8E1C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Inserção e conferência de registros; triagem; atendimento telefônico em rodízio; relatório de produção.</w:t>
            </w:r>
          </w:p>
        </w:tc>
      </w:tr>
      <w:tr w:rsidR="00757D94" w14:paraId="44BCCC33" w14:textId="77777777"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42375B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Digitador (posto avançado)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279B2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3811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Vitória/ES</w:t>
            </w:r>
          </w:p>
        </w:tc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D6BD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Idem, regido pela convenção coletiva do Espírito Santo.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EC808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Idem, sob supervisão à distância do líder.</w:t>
            </w:r>
          </w:p>
        </w:tc>
      </w:tr>
    </w:tbl>
    <w:p w14:paraId="19F28C95" w14:textId="77777777" w:rsidR="00757D94" w:rsidRDefault="00757D94">
      <w:pPr>
        <w:spacing w:after="120"/>
      </w:pPr>
    </w:p>
    <w:p w14:paraId="0907F19F" w14:textId="77777777" w:rsidR="00757D94" w:rsidRDefault="00937418">
      <w:pPr>
        <w:spacing w:after="120" w:line="259" w:lineRule="auto"/>
        <w:jc w:val="both"/>
      </w:pPr>
      <w:r>
        <w:t>3.1 Todos os profissionais devem manter vínculo empregatício com o Operador econômico, comprovado por ficha de registro ou contrato de trabalho antes do início e durante toda a vigência, vedados rateio, revezamento informal e alocação de terceiros ou de sócios.</w:t>
      </w:r>
    </w:p>
    <w:p w14:paraId="10CD0ACD" w14:textId="77777777" w:rsidR="00757D94" w:rsidRDefault="00937418">
      <w:pPr>
        <w:keepNext/>
        <w:spacing w:before="280" w:after="140"/>
      </w:pPr>
      <w:r>
        <w:rPr>
          <w:b/>
          <w:bCs/>
        </w:rPr>
        <w:lastRenderedPageBreak/>
        <w:t>4. Atendimento telefônico em rodízio — limites</w:t>
      </w:r>
    </w:p>
    <w:p w14:paraId="25240A21" w14:textId="77777777" w:rsidR="00757D94" w:rsidRDefault="00937418">
      <w:pPr>
        <w:spacing w:after="120" w:line="259" w:lineRule="auto"/>
        <w:jc w:val="both"/>
      </w:pPr>
      <w:r>
        <w:t>4.1 O atendimento telefônico ao público, restrito a informações sobre o próprio serviço de registro (andamento, documentação, agendamento), é atividade acessória e conexa à digitação: (a) limite de 1 (uma) hora por dia por profissional, em rodízio com escala organizada pelo líder e registrada; (b) não constitui teleatendimento/telemarketing, afastando o Anexo II da NR-17 e o enquadramento em outra categoria; (c) as pausas do item 2.2 são mantidas e o tempo de atendimento é computado na jornada; (d) a descrição da função consigna a natureza acessória e a alternância, vedada a alocação de profissional exclusivamente ao atendimento; (e) o cumprimento da escala é comprovado no relatório mensal (nível de serviço n.º 6).</w:t>
      </w:r>
    </w:p>
    <w:p w14:paraId="72A55B8B" w14:textId="77777777" w:rsidR="00757D94" w:rsidRDefault="00937418">
      <w:pPr>
        <w:keepNext/>
        <w:spacing w:before="280" w:after="140"/>
      </w:pPr>
      <w:r>
        <w:rPr>
          <w:b/>
          <w:bCs/>
        </w:rPr>
        <w:t>5. Cobertura, substituição e processo</w:t>
      </w:r>
    </w:p>
    <w:p w14:paraId="4CB5CF3E" w14:textId="77777777" w:rsidR="00757D94" w:rsidRDefault="00937418">
      <w:pPr>
        <w:spacing w:after="120" w:line="259" w:lineRule="auto"/>
        <w:jc w:val="both"/>
      </w:pPr>
      <w:r>
        <w:t>5.1 Cobertura integral dos postos em todos os dias úteis. Ausência não programada: substituição em até 2 (dois) dias úteis; programada: substituto apresentado com 5 (cinco) dias úteis de antecedência, com o mesmo perfil e capacitado, à custa do Operador.</w:t>
      </w:r>
    </w:p>
    <w:p w14:paraId="75DC5F27" w14:textId="77777777" w:rsidR="00757D94" w:rsidRDefault="00937418">
      <w:pPr>
        <w:spacing w:after="120" w:line="259" w:lineRule="auto"/>
        <w:jc w:val="both"/>
      </w:pPr>
      <w:r>
        <w:t>5.2 Cada registro é inserido por um digitador e conferido por outro, com trilha de auditoria. O líder consolida a produção diária e entrega relatório mensal com os indicadores do item 6. Procedimentos operacionais fornecidos pelo Contratante; formação inicial e continuada a cargo do Operador.</w:t>
      </w:r>
    </w:p>
    <w:p w14:paraId="223B4F02" w14:textId="77777777" w:rsidR="00757D94" w:rsidRDefault="00937418">
      <w:pPr>
        <w:keepNext/>
        <w:spacing w:before="280" w:after="140"/>
      </w:pPr>
      <w:r>
        <w:rPr>
          <w:b/>
          <w:bCs/>
        </w:rPr>
        <w:t>6. Níveis de serviço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400"/>
        <w:gridCol w:w="3466"/>
        <w:gridCol w:w="3000"/>
      </w:tblGrid>
      <w:tr w:rsidR="00757D94" w14:paraId="4256BF00" w14:textId="77777777">
        <w:trPr>
          <w:tblHeader/>
        </w:trPr>
        <w:tc>
          <w:tcPr>
            <w:tcW w:w="6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2D2AC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N.º</w:t>
            </w:r>
          </w:p>
        </w:tc>
        <w:tc>
          <w:tcPr>
            <w:tcW w:w="34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8ED3E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Indicador</w:t>
            </w:r>
          </w:p>
        </w:tc>
        <w:tc>
          <w:tcPr>
            <w:tcW w:w="34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25EC7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Meta</w:t>
            </w:r>
          </w:p>
        </w:tc>
        <w:tc>
          <w:tcPr>
            <w:tcW w:w="30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AF0DA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Aferição</w:t>
            </w:r>
          </w:p>
        </w:tc>
      </w:tr>
      <w:tr w:rsidR="00757D94" w14:paraId="66D5CCC3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A3ABE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C5965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Cobertura de postos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E77B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≥ 98% dos postos-dia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49E33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Folha de presença / relatório mensal</w:t>
            </w:r>
          </w:p>
        </w:tc>
      </w:tr>
      <w:tr w:rsidR="00757D94" w14:paraId="25251480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1D448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BF520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Produtividade por posto (baseline)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577192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Aferida nos primeiros 90 dias; meta ≥ 95% da média aferida, fixada por termo aditivo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C903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Sistema de registro</w:t>
            </w:r>
          </w:p>
        </w:tc>
      </w:tr>
      <w:tr w:rsidR="00757D94" w14:paraId="1FC4AA75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044C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B2457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Exatidão (erros por 1.000 registros)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DF139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≤ 5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3C0CD2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Amostragem mensal de 5% com dupla checagem</w:t>
            </w:r>
          </w:p>
        </w:tc>
      </w:tr>
      <w:tr w:rsidR="00757D94" w14:paraId="162F7703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C1FF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45D2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Prazo de inserção de expediente recebido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A61050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≤ 3 dias úteis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CC85A2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Data de protocolo × data de inserção</w:t>
            </w:r>
          </w:p>
        </w:tc>
      </w:tr>
      <w:tr w:rsidR="00757D94" w14:paraId="0A70C03B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57BCB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ADC1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Substituição de ausência não programada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9FA7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≤ 2 dias úteis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A126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Registro de ocorrências</w:t>
            </w:r>
          </w:p>
        </w:tc>
      </w:tr>
      <w:tr w:rsidR="00757D94" w14:paraId="66599EDE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B3D80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C31577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Atendimento telefônico (rodízio)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1B586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Escala cumprida; ≤ 1 h/dia por profissional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1AA5DB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Escala e registro de chamadas</w:t>
            </w:r>
          </w:p>
        </w:tc>
      </w:tr>
      <w:tr w:rsidR="00757D94" w14:paraId="75AF4758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0A276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D54D5A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Incidentes de segurança da informação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55048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0 incidentes graves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E5CB25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Registro de incidentes</w:t>
            </w:r>
          </w:p>
        </w:tc>
      </w:tr>
      <w:tr w:rsidR="00757D94" w14:paraId="41A05C48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0F34D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2C663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Regularidade trabalhista e fiscal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D18FA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100% dos documentos mensais até o dia 10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071F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Checklist de fiscalização</w:t>
            </w:r>
          </w:p>
        </w:tc>
      </w:tr>
      <w:tr w:rsidR="00757D94" w14:paraId="3E421DD5" w14:textId="77777777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10A4D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F5052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Formação e conformidade LGPD/GDPR</w:t>
            </w:r>
          </w:p>
        </w:tc>
        <w:tc>
          <w:tcPr>
            <w:tcW w:w="3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D2EF67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100% dos profissionais formados em 30 dias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6F42D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Certificados / lista de presença</w:t>
            </w:r>
          </w:p>
        </w:tc>
      </w:tr>
    </w:tbl>
    <w:p w14:paraId="097F4784" w14:textId="77777777" w:rsidR="00757D94" w:rsidRDefault="00937418">
      <w:pPr>
        <w:keepNext/>
        <w:spacing w:before="280" w:after="140"/>
      </w:pPr>
      <w:r>
        <w:rPr>
          <w:b/>
          <w:bCs/>
        </w:rPr>
        <w:t>7. Penalidades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5866"/>
        <w:gridCol w:w="3800"/>
      </w:tblGrid>
      <w:tr w:rsidR="00757D94" w14:paraId="29DD1EAA" w14:textId="77777777">
        <w:trPr>
          <w:tblHeader/>
        </w:trPr>
        <w:tc>
          <w:tcPr>
            <w:tcW w:w="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7478D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Grau</w:t>
            </w:r>
          </w:p>
        </w:tc>
        <w:tc>
          <w:tcPr>
            <w:tcW w:w="58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0D9B2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Ocorrência</w:t>
            </w:r>
          </w:p>
        </w:tc>
        <w:tc>
          <w:tcPr>
            <w:tcW w:w="3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9C43AC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Sanção</w:t>
            </w:r>
          </w:p>
        </w:tc>
      </w:tr>
      <w:tr w:rsidR="00757D94" w14:paraId="28F64B2F" w14:textId="77777777"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E18EE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F2CA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Descumprimento pontual de nível de serviço</w:t>
            </w:r>
          </w:p>
        </w:tc>
        <w:tc>
          <w:tcPr>
            <w:tcW w:w="3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062AC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Advertência escrita</w:t>
            </w:r>
          </w:p>
        </w:tc>
      </w:tr>
      <w:tr w:rsidR="00757D94" w14:paraId="320E9B7C" w14:textId="77777777"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F16BB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7B071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Reincidência no mês ou meta abaixo de 90%</w:t>
            </w:r>
          </w:p>
        </w:tc>
        <w:tc>
          <w:tcPr>
            <w:tcW w:w="3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8B4D8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Multa de 0,5% do valor mensal por ocorrência</w:t>
            </w:r>
          </w:p>
        </w:tc>
      </w:tr>
      <w:tr w:rsidR="00757D94" w14:paraId="2FA232E1" w14:textId="77777777"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FB5CA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E0D1A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Cobertura &lt; 95% ou exatidão &lt; 95% no mês</w:t>
            </w:r>
          </w:p>
        </w:tc>
        <w:tc>
          <w:tcPr>
            <w:tcW w:w="3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98F11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Multa de 2% do valor mensal</w:t>
            </w:r>
          </w:p>
        </w:tc>
      </w:tr>
      <w:tr w:rsidR="00757D94" w14:paraId="2A636025" w14:textId="77777777"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86A1F3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FDAAB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Atraso salarial/benefício, não comprovação de encargos, incidente grave de dados</w:t>
            </w:r>
          </w:p>
        </w:tc>
        <w:tc>
          <w:tcPr>
            <w:tcW w:w="3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74A179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Multa de 5% + retenção do pagamento até regularização</w:t>
            </w:r>
          </w:p>
        </w:tc>
      </w:tr>
      <w:tr w:rsidR="00757D94" w14:paraId="5BEF38EB" w14:textId="77777777"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C465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58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2EB0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Reincidência de grau 4 ou inexecução parcial relevante</w:t>
            </w:r>
          </w:p>
        </w:tc>
        <w:tc>
          <w:tcPr>
            <w:tcW w:w="3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EE4E0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Rescisão e execução da garantia</w:t>
            </w:r>
          </w:p>
        </w:tc>
      </w:tr>
    </w:tbl>
    <w:p w14:paraId="03677D85" w14:textId="77777777" w:rsidR="00757D94" w:rsidRDefault="00937418">
      <w:pPr>
        <w:spacing w:before="100" w:after="120" w:line="259" w:lineRule="auto"/>
        <w:jc w:val="both"/>
      </w:pPr>
      <w:r>
        <w:t>Multas acumuláveis até 10% do valor do contrato de implementação no período; aplicação em contraditório com prazo de 5 dias úteis.</w:t>
      </w:r>
    </w:p>
    <w:p w14:paraId="34470B3E" w14:textId="77777777" w:rsidR="00757D94" w:rsidRDefault="00937418">
      <w:pPr>
        <w:keepNext/>
        <w:spacing w:before="280" w:after="140"/>
      </w:pPr>
      <w:r>
        <w:rPr>
          <w:b/>
          <w:bCs/>
        </w:rPr>
        <w:t>8. Separação de gestão, tutelas trabalhistas e custos referenciais</w:t>
      </w:r>
    </w:p>
    <w:p w14:paraId="24871EA5" w14:textId="77777777" w:rsidR="00757D94" w:rsidRDefault="00937418">
      <w:pPr>
        <w:spacing w:after="120" w:line="259" w:lineRule="auto"/>
        <w:jc w:val="both"/>
      </w:pPr>
      <w:r>
        <w:t>8.1 O Operador exerce, por preposto único, o poder diretivo, disciplinar e de organização; o Contratante define resultado e padrão de qualidade e fiscaliza. Vedadas ordens diretas do pessoal consular aos profissionais.</w:t>
      </w:r>
    </w:p>
    <w:p w14:paraId="6EAF609A" w14:textId="77777777" w:rsidR="00757D94" w:rsidRDefault="00937418">
      <w:pPr>
        <w:spacing w:after="120" w:line="259" w:lineRule="auto"/>
        <w:jc w:val="both"/>
      </w:pPr>
      <w:r>
        <w:t>8.2 Salários de referência vinculantes (não descontáveis): Digitador R$ 3.306,25 e Líder R$ 4.453,00 mensais, para a jornada de 30 horas, ou o piso da convenção coletiva aplicável (RJ ou ES), se superior. Benefícios mínimos: vale-transporte; vale-refeição/alimentação; plano de saúde junto a operadora registrada na ANS, com cobertura ambulatorial e hospitalar em enfermaria, titular integralmente a cargo do Operador e coparticipação limitada; assistência odontológica.</w:t>
      </w:r>
    </w:p>
    <w:p w14:paraId="5919EAC8" w14:textId="77777777" w:rsidR="00757D94" w:rsidRDefault="00937418">
      <w:pPr>
        <w:spacing w:after="120" w:line="259" w:lineRule="auto"/>
        <w:jc w:val="both"/>
      </w:pPr>
      <w:r>
        <w:t>8.3 Comprovação mensal, como condição de pagamento: folha, recibos de salário e benefícios, guias de FGTS e INSS, CND federal, CRF e CNDT, e a convenção coletiva aplicada. Garantia de 10% com cobertura de verbas trabalhistas (item 9 do Edital).</w:t>
      </w:r>
    </w:p>
    <w:p w14:paraId="5250D7CB" w14:textId="77777777" w:rsidR="00757D94" w:rsidRDefault="00937418">
      <w:pPr>
        <w:spacing w:after="120" w:line="259" w:lineRule="auto"/>
        <w:jc w:val="both"/>
      </w:pPr>
      <w:r>
        <w:t>8.4 Composição referencial do custo mensal por posto (Lucro Presumido; detalhamento na Planilha de Valores, Anexo 9):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6"/>
        <w:gridCol w:w="2000"/>
        <w:gridCol w:w="2000"/>
        <w:gridCol w:w="2000"/>
      </w:tblGrid>
      <w:tr w:rsidR="00757D94" w14:paraId="1095EAC3" w14:textId="77777777">
        <w:trPr>
          <w:tblHeader/>
        </w:trPr>
        <w:tc>
          <w:tcPr>
            <w:tcW w:w="44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3581F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Componente (R$/mês)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85AC8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Digitador RJ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F6301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Digitador Vitória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5FE9F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Líder</w:t>
            </w:r>
          </w:p>
        </w:tc>
      </w:tr>
      <w:tr w:rsidR="00757D94" w14:paraId="24A27B5C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BFBE0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Salário base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AB3B0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3.306,25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2C55AE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3.306,25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DFE009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4.453,00</w:t>
            </w:r>
          </w:p>
        </w:tc>
      </w:tr>
      <w:tr w:rsidR="00757D94" w14:paraId="1E4DDC96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333D8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Encargos sociais e provisões (71,09%)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89A84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2.350,41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CAAE0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2.350,41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93FC96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3.165,64</w:t>
            </w:r>
          </w:p>
        </w:tc>
      </w:tr>
      <w:tr w:rsidR="00757D94" w14:paraId="06FFFE61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43505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Benefícios (VT líquido, VR, plano de saúde, odontológico)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2C215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1.341,62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C5B20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1.241,62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096A5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1.272,82</w:t>
            </w:r>
          </w:p>
        </w:tc>
      </w:tr>
      <w:tr w:rsidR="00757D94" w14:paraId="76D7EC49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E8FD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Reserva técnica, EPI e insumos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708186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662,48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5AC6C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659,48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494A8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876,23</w:t>
            </w:r>
          </w:p>
        </w:tc>
      </w:tr>
      <w:tr w:rsidR="00757D94" w14:paraId="0AC6414D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0A514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Despesas administrativas (4%) e lucro (6%)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9D425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766,08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C6E27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755,78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A986C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976,77</w:t>
            </w:r>
          </w:p>
        </w:tc>
      </w:tr>
      <w:tr w:rsidR="00757D94" w14:paraId="55CCF076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3E72F" w14:textId="77777777" w:rsidR="00757D94" w:rsidRDefault="00937418">
            <w:pPr>
              <w:spacing w:after="40"/>
            </w:pPr>
            <w:r>
              <w:rPr>
                <w:sz w:val="20"/>
                <w:szCs w:val="20"/>
              </w:rPr>
              <w:t>Tributos sobre o faturamento (16,33%)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8E976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1.644,68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14993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1.622,57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09A51" w14:textId="77777777" w:rsidR="00757D94" w:rsidRDefault="00937418">
            <w:pPr>
              <w:spacing w:after="40"/>
              <w:jc w:val="right"/>
            </w:pPr>
            <w:r>
              <w:rPr>
                <w:sz w:val="20"/>
                <w:szCs w:val="20"/>
              </w:rPr>
              <w:t>2.097,01</w:t>
            </w:r>
          </w:p>
        </w:tc>
      </w:tr>
      <w:tr w:rsidR="00757D94" w14:paraId="36679576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1D34F" w14:textId="77777777" w:rsidR="00757D94" w:rsidRDefault="00937418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Preço mensal referencial por posto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843B84" w14:textId="77777777" w:rsidR="00757D94" w:rsidRDefault="00937418">
            <w:pPr>
              <w:spacing w:after="40"/>
              <w:jc w:val="right"/>
            </w:pPr>
            <w:r>
              <w:rPr>
                <w:b/>
                <w:bCs/>
                <w:sz w:val="20"/>
                <w:szCs w:val="20"/>
              </w:rPr>
              <w:t>10.071,53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EC0B2C" w14:textId="77777777" w:rsidR="00757D94" w:rsidRDefault="00937418">
            <w:pPr>
              <w:spacing w:after="40"/>
              <w:jc w:val="right"/>
            </w:pPr>
            <w:r>
              <w:rPr>
                <w:b/>
                <w:bCs/>
                <w:sz w:val="20"/>
                <w:szCs w:val="20"/>
              </w:rPr>
              <w:t>9.936,11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5771D" w14:textId="77777777" w:rsidR="00757D94" w:rsidRDefault="00937418">
            <w:pPr>
              <w:spacing w:after="40"/>
              <w:jc w:val="right"/>
            </w:pPr>
            <w:r>
              <w:rPr>
                <w:b/>
                <w:bCs/>
                <w:sz w:val="20"/>
                <w:szCs w:val="20"/>
              </w:rPr>
              <w:t>12.841,47</w:t>
            </w:r>
          </w:p>
        </w:tc>
      </w:tr>
    </w:tbl>
    <w:p w14:paraId="3EDDA882" w14:textId="77777777" w:rsidR="00757D94" w:rsidRDefault="00757D94">
      <w:pPr>
        <w:spacing w:after="120"/>
      </w:pPr>
    </w:p>
    <w:p w14:paraId="5896587E" w14:textId="77777777" w:rsidR="00757D94" w:rsidRDefault="00937418">
      <w:pPr>
        <w:spacing w:after="120" w:line="259" w:lineRule="auto"/>
        <w:jc w:val="both"/>
      </w:pPr>
      <w:r>
        <w:t>8.5 Valor mensal máximo da composição de referência: R$ 113.421,33 (anual R$ 1.361.056,00), dos quais R$ 84.145,48 de mão de obra, encargos e provisões não descontáveis (custos de pessoal e correlatos) e R$ 10.754,15 de parcela descontável — taxa de administração, custos indiretos e lucro (fundamento: art. 41, comma 14, do D.Lgs. 36/2023, e Instrução Normativa nº 5/2017, por analogia).</w:t>
      </w:r>
    </w:p>
    <w:p w14:paraId="1ACDCEBD" w14:textId="77777777" w:rsidR="00757D94" w:rsidRDefault="00937418">
      <w:pPr>
        <w:spacing w:after="120" w:line="259" w:lineRule="auto"/>
        <w:jc w:val="both"/>
      </w:pPr>
      <w:r>
        <w:t>8.6 Cláusula social (art. 57 do D.Lgs. 36/2023): o Operador vencedor dará preferência, no preenchimento dos postos, ao pessoal atualmente alocado no serviço que manifeste interesse e preencha o perfil do item 3, mediante novo vínculo empregatício, em harmonia com a sua organização, nas condições de admissão que respeitem os mínimos do item 8.2. A preferência não configura sucessão trabalhista nem responsabilidade do Contratante ou do vencedor pelo passivo do prestador anterior, e não é objeto de pontuação; a sua aceitação é declarada no Envelope A (item 6.1.1, r, do Edital).</w:t>
      </w:r>
    </w:p>
    <w:p w14:paraId="6480F0E4" w14:textId="77777777" w:rsidR="00757D94" w:rsidRDefault="00937418">
      <w:pPr>
        <w:keepNext/>
        <w:spacing w:before="280" w:after="140"/>
      </w:pPr>
      <w:r>
        <w:rPr>
          <w:b/>
          <w:bCs/>
        </w:rPr>
        <w:t>9. Segurança da informação e proteção de dados</w:t>
      </w:r>
    </w:p>
    <w:p w14:paraId="41A63890" w14:textId="77777777" w:rsidR="00757D94" w:rsidRDefault="00937418">
      <w:pPr>
        <w:spacing w:after="120" w:line="259" w:lineRule="auto"/>
        <w:jc w:val="both"/>
      </w:pPr>
      <w:r>
        <w:t>9.1 Acesso nominal e restrito aos sistemas; vedados cópia, extração, uso de dispositivos pessoais e execução fora dos postos; termo de sigilo assinado por cada profissional; criptografia e registro de acessos conforme o Contratante; notificação de incidente em 24 horas; cooperação com o encarregado e as autoridades (ANPD; Garante). O Operador é operador/responsável pelo tratamento nos termos do Anexo 4.</w:t>
      </w:r>
    </w:p>
    <w:p w14:paraId="20D4CF12" w14:textId="77777777" w:rsidR="00757D94" w:rsidRDefault="00937418">
      <w:pPr>
        <w:keepNext/>
        <w:spacing w:before="280" w:after="140"/>
      </w:pPr>
      <w:r>
        <w:rPr>
          <w:b/>
          <w:bCs/>
        </w:rPr>
        <w:lastRenderedPageBreak/>
        <w:t>10. Transição e plano de saída</w:t>
      </w:r>
    </w:p>
    <w:p w14:paraId="1F18A874" w14:textId="77777777" w:rsidR="00757D94" w:rsidRDefault="00937418">
      <w:pPr>
        <w:spacing w:after="120" w:line="259" w:lineRule="auto"/>
        <w:jc w:val="both"/>
      </w:pPr>
      <w:r>
        <w:t>10.1 Transição de entrada: 30 dias para mobilização, formação e passagem de procedimentos, sem interrupção do serviço em curso. Plano de saída: nos 60 dias finais, manutenção da equipe, inventário de pendências, entrega de documentação e credenciais, cooperação com o sucessor; retenção de 15% da última fatura até a conclusão. Prorrogação técnica conforme a Cláusula 12 do Anexo 1.</w:t>
      </w:r>
    </w:p>
    <w:sectPr w:rsidR="00757D94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E8B8" w14:textId="77777777" w:rsidR="00937418" w:rsidRDefault="00937418">
      <w:r>
        <w:separator/>
      </w:r>
    </w:p>
  </w:endnote>
  <w:endnote w:type="continuationSeparator" w:id="0">
    <w:p w14:paraId="62C9131C" w14:textId="77777777" w:rsidR="00937418" w:rsidRDefault="0093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89A5" w14:textId="77777777" w:rsidR="00757D94" w:rsidRDefault="00937418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30C1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03478" w14:textId="77777777" w:rsidR="00937418" w:rsidRDefault="00937418">
      <w:r>
        <w:separator/>
      </w:r>
    </w:p>
  </w:footnote>
  <w:footnote w:type="continuationSeparator" w:id="0">
    <w:p w14:paraId="2352EA2E" w14:textId="77777777" w:rsidR="00937418" w:rsidRDefault="00937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D7778"/>
    <w:multiLevelType w:val="hybridMultilevel"/>
    <w:tmpl w:val="6DC82526"/>
    <w:lvl w:ilvl="0" w:tplc="8416C062">
      <w:start w:val="1"/>
      <w:numFmt w:val="bullet"/>
      <w:lvlText w:val="●"/>
      <w:lvlJc w:val="left"/>
      <w:pPr>
        <w:ind w:left="720" w:hanging="360"/>
      </w:pPr>
    </w:lvl>
    <w:lvl w:ilvl="1" w:tplc="0E761906">
      <w:start w:val="1"/>
      <w:numFmt w:val="bullet"/>
      <w:lvlText w:val="○"/>
      <w:lvlJc w:val="left"/>
      <w:pPr>
        <w:ind w:left="1440" w:hanging="360"/>
      </w:pPr>
    </w:lvl>
    <w:lvl w:ilvl="2" w:tplc="6FD81B78">
      <w:start w:val="1"/>
      <w:numFmt w:val="bullet"/>
      <w:lvlText w:val="■"/>
      <w:lvlJc w:val="left"/>
      <w:pPr>
        <w:ind w:left="2160" w:hanging="360"/>
      </w:pPr>
    </w:lvl>
    <w:lvl w:ilvl="3" w:tplc="0E1CB012">
      <w:start w:val="1"/>
      <w:numFmt w:val="bullet"/>
      <w:lvlText w:val="●"/>
      <w:lvlJc w:val="left"/>
      <w:pPr>
        <w:ind w:left="2880" w:hanging="360"/>
      </w:pPr>
    </w:lvl>
    <w:lvl w:ilvl="4" w:tplc="355C862C">
      <w:start w:val="1"/>
      <w:numFmt w:val="bullet"/>
      <w:lvlText w:val="○"/>
      <w:lvlJc w:val="left"/>
      <w:pPr>
        <w:ind w:left="3600" w:hanging="360"/>
      </w:pPr>
    </w:lvl>
    <w:lvl w:ilvl="5" w:tplc="C3B4703E">
      <w:start w:val="1"/>
      <w:numFmt w:val="bullet"/>
      <w:lvlText w:val="■"/>
      <w:lvlJc w:val="left"/>
      <w:pPr>
        <w:ind w:left="4320" w:hanging="360"/>
      </w:pPr>
    </w:lvl>
    <w:lvl w:ilvl="6" w:tplc="6CD6AEDC">
      <w:start w:val="1"/>
      <w:numFmt w:val="bullet"/>
      <w:lvlText w:val="●"/>
      <w:lvlJc w:val="left"/>
      <w:pPr>
        <w:ind w:left="5040" w:hanging="360"/>
      </w:pPr>
    </w:lvl>
    <w:lvl w:ilvl="7" w:tplc="A902297A">
      <w:start w:val="1"/>
      <w:numFmt w:val="bullet"/>
      <w:lvlText w:val="●"/>
      <w:lvlJc w:val="left"/>
      <w:pPr>
        <w:ind w:left="5760" w:hanging="360"/>
      </w:pPr>
    </w:lvl>
    <w:lvl w:ilvl="8" w:tplc="A46C6B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D94"/>
    <w:rsid w:val="00757D94"/>
    <w:rsid w:val="00937418"/>
    <w:rsid w:val="009F0F89"/>
    <w:rsid w:val="00C020A8"/>
    <w:rsid w:val="00D3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1152"/>
  <w15:docId w15:val="{8E62B57C-6738-45D1-8C12-C1B2376A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1380</Words>
  <Characters>7870</Characters>
  <Application>Microsoft Office Word</Application>
  <DocSecurity>0</DocSecurity>
  <Lines>65</Lines>
  <Paragraphs>18</Paragraphs>
  <ScaleCrop>false</ScaleCrop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Anexo_2_Especificacoes_e_Custos_2026.docx</dc:title>
  <dc:creator>Consulado Geral da Itália — Rio de Janeiro</dc:creator>
  <cp:lastModifiedBy>helder.desouza</cp:lastModifiedBy>
  <cp:revision>3</cp:revision>
  <dcterms:created xsi:type="dcterms:W3CDTF">2026-09-18T15:28:00Z</dcterms:created>
  <dcterms:modified xsi:type="dcterms:W3CDTF">2026-10-06T12:06:00Z</dcterms:modified>
</cp:coreProperties>
</file>